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справка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Всероссийск</w:t>
      </w:r>
      <w:r>
        <w:rPr>
          <w:b/>
          <w:bCs/>
          <w:iCs/>
          <w:sz w:val="28"/>
          <w:szCs w:val="28"/>
        </w:rPr>
        <w:t xml:space="preserve">ая</w:t>
      </w:r>
      <w:r>
        <w:rPr>
          <w:b/>
          <w:bCs/>
          <w:iCs/>
          <w:sz w:val="28"/>
          <w:szCs w:val="28"/>
        </w:rPr>
        <w:t xml:space="preserve"> акци</w:t>
      </w:r>
      <w:r>
        <w:rPr>
          <w:b/>
          <w:bCs/>
          <w:iCs/>
          <w:sz w:val="28"/>
          <w:szCs w:val="28"/>
        </w:rPr>
        <w:t xml:space="preserve">я</w:t>
      </w:r>
      <w:r>
        <w:rPr>
          <w:b/>
          <w:bCs/>
          <w:iCs/>
          <w:sz w:val="28"/>
          <w:szCs w:val="28"/>
        </w:rPr>
        <w:t xml:space="preserve"> «Ёлка желаний» 202</w:t>
      </w:r>
      <w:r>
        <w:rPr>
          <w:b/>
          <w:bCs/>
          <w:iCs/>
          <w:sz w:val="28"/>
          <w:szCs w:val="28"/>
        </w:rPr>
        <w:t xml:space="preserve">4</w:t>
      </w:r>
      <w:r>
        <w:rPr>
          <w:b/>
          <w:bCs/>
          <w:iCs/>
          <w:sz w:val="28"/>
          <w:szCs w:val="28"/>
        </w:rPr>
        <w:t xml:space="preserve">-202</w:t>
      </w:r>
      <w:r>
        <w:rPr>
          <w:b/>
          <w:bCs/>
          <w:iCs/>
          <w:sz w:val="28"/>
          <w:szCs w:val="28"/>
        </w:rPr>
        <w:t xml:space="preserve">5</w:t>
      </w:r>
      <w:r>
        <w:rPr>
          <w:b/>
          <w:bCs/>
          <w:iCs/>
          <w:sz w:val="28"/>
          <w:szCs w:val="28"/>
        </w:rPr>
        <w:t xml:space="preserve"> гг.</w:t>
      </w:r>
      <w:r>
        <w:rPr>
          <w:b/>
          <w:bCs/>
          <w:iCs/>
          <w:sz w:val="28"/>
          <w:szCs w:val="28"/>
        </w:rPr>
      </w:r>
      <w:r>
        <w:rPr>
          <w:b/>
          <w:bCs/>
          <w:iCs/>
          <w:sz w:val="28"/>
          <w:szCs w:val="28"/>
        </w:rPr>
      </w:r>
    </w:p>
    <w:p>
      <w:pPr>
        <w:ind w:firstLine="70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В преддверии новогодних </w:t>
      </w:r>
      <w:r>
        <w:rPr>
          <w:sz w:val="28"/>
          <w:szCs w:val="28"/>
        </w:rPr>
        <w:t xml:space="preserve">праздников </w:t>
      </w:r>
      <w:r>
        <w:rPr>
          <w:sz w:val="28"/>
          <w:szCs w:val="28"/>
        </w:rPr>
        <w:t xml:space="preserve">Движение Первых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поддержке</w:t>
      </w:r>
      <w:r>
        <w:rPr>
          <w:sz w:val="28"/>
          <w:szCs w:val="28"/>
        </w:rPr>
        <w:t xml:space="preserve"> Росмолодежь.Добро </w:t>
      </w:r>
      <w:r>
        <w:rPr>
          <w:sz w:val="28"/>
          <w:szCs w:val="28"/>
        </w:rPr>
        <w:t xml:space="preserve">запускает</w:t>
      </w:r>
      <w:r>
        <w:rPr>
          <w:sz w:val="28"/>
          <w:szCs w:val="28"/>
        </w:rPr>
        <w:t xml:space="preserve"> Всероссийскую акцию «Ёлка желаний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Её цель – подарить радость и ощущение новогоднего волшебства детям, оказавшимся в трудной жизненной ситуации. Благодаря акции граждане, которые хотят совершить добрый поступок, могут найти тех, кто нуждается в помощи и исполнить их новогодние желания.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«Ёлка желаний» реализуется с 2018 года </w:t>
      </w:r>
      <w:r>
        <w:rPr>
          <w:sz w:val="28"/>
          <w:szCs w:val="28"/>
        </w:rPr>
        <w:t xml:space="preserve">по всей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и каждый год объединяет тысячи людей, готовых творить добрые дела. Благодаря усилиям организаторов и исполнителей акции,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шесть</w:t>
      </w:r>
      <w:r>
        <w:rPr>
          <w:sz w:val="28"/>
          <w:szCs w:val="28"/>
        </w:rPr>
        <w:t xml:space="preserve"> лет было исполнено </w:t>
      </w:r>
      <w:r>
        <w:rPr>
          <w:sz w:val="28"/>
          <w:szCs w:val="28"/>
        </w:rPr>
        <w:t xml:space="preserve">более 210 </w:t>
      </w:r>
      <w:r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детских новогодних желаний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Ежегодно желания участников акции </w:t>
      </w:r>
      <w:r>
        <w:rPr>
          <w:sz w:val="28"/>
          <w:szCs w:val="28"/>
        </w:rPr>
        <w:t xml:space="preserve">воплощают в жизнь </w:t>
      </w:r>
      <w:r>
        <w:rPr>
          <w:sz w:val="28"/>
          <w:szCs w:val="28"/>
        </w:rPr>
        <w:t xml:space="preserve">тысячи неравнодушных граждан: представители государственных учреждений, коммерческих организаций, частные лица. Каждый год 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новогодней акции </w:t>
      </w:r>
      <w:r>
        <w:rPr>
          <w:sz w:val="28"/>
          <w:szCs w:val="28"/>
        </w:rPr>
        <w:t xml:space="preserve">присоединяется Президент </w:t>
      </w:r>
      <w:r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Владимир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этом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«Ёлка желаний» </w:t>
      </w:r>
      <w:r>
        <w:rPr>
          <w:sz w:val="28"/>
          <w:szCs w:val="28"/>
        </w:rPr>
        <w:t xml:space="preserve">проходит с 15 ноября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по 28 февраля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акции участвуют дети в возрасте от 3 до 17 лет включительно: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с ограниченными возможностями здоровья;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с инвалидностью;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с состоянием здоровья, угрожающим жизни;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из семей с доходом ниже прожиточного минимума;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ети-сироты и дети без попечения родителей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из семей участников специальной военной операции;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  <w:t xml:space="preserve">проживающие и зарегистрированные на территории Донецкой и Луганской Народных Республик, Запорожской и Херсонской областей;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•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  <w:t xml:space="preserve">из семей, постоянно проживающих в Белгородской, Курской и Брянской областях, и пострадавших и/или вынуждено покинувших место жительства в связи с обстрелами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акции предусмотрено три вида желаний — материальные, нематериальные, подарок-сюрприз. Материальные желания </w:t>
      </w:r>
      <w:r>
        <w:rPr>
          <w:sz w:val="28"/>
          <w:szCs w:val="28"/>
        </w:rPr>
        <w:t xml:space="preserve">представляют собой</w:t>
      </w:r>
      <w:r>
        <w:rPr>
          <w:sz w:val="28"/>
          <w:szCs w:val="28"/>
        </w:rPr>
        <w:t xml:space="preserve"> развивающие материалы и книги, товары для хобби, музыкальные инструменты, спортивный инвентарь и экипировку, детские и развивающие игрушки, одежду и наряды (костюмы).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 нематериальны</w:t>
      </w:r>
      <w:r>
        <w:rPr>
          <w:sz w:val="28"/>
          <w:szCs w:val="28"/>
        </w:rPr>
        <w:t xml:space="preserve">ми желаниями понимается возможность ребенка </w:t>
      </w:r>
      <w:r>
        <w:rPr>
          <w:sz w:val="28"/>
          <w:szCs w:val="28"/>
        </w:rPr>
        <w:t xml:space="preserve">попробовать себя в профессии</w:t>
      </w:r>
      <w:r>
        <w:rPr>
          <w:sz w:val="28"/>
          <w:szCs w:val="28"/>
        </w:rPr>
        <w:t xml:space="preserve"> (например, «я хочу стать машинистом поезда»); </w:t>
      </w:r>
      <w:r>
        <w:rPr>
          <w:sz w:val="28"/>
          <w:szCs w:val="28"/>
        </w:rPr>
        <w:t xml:space="preserve">отправиться в поездку </w:t>
      </w:r>
      <w:r>
        <w:rPr>
          <w:sz w:val="28"/>
          <w:szCs w:val="28"/>
        </w:rPr>
        <w:t xml:space="preserve">(например, «я хочу побывать в Москве»);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</w:t>
      </w:r>
      <w:r>
        <w:rPr>
          <w:sz w:val="28"/>
          <w:szCs w:val="28"/>
        </w:rPr>
        <w:t xml:space="preserve">титься с известным человеком </w:t>
      </w:r>
      <w:r>
        <w:rPr>
          <w:sz w:val="28"/>
          <w:szCs w:val="28"/>
        </w:rPr>
        <w:t xml:space="preserve">(например, «я мечтаю встретиться с космонавтом»).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кции также </w:t>
      </w:r>
      <w:r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 xml:space="preserve">заявки на подарки-сюрпризы, где исполнитель самостоятельно выбирает подарок для мечтателя на основе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предпочтений, интересов и хобби.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jc w:val="both"/>
        <w:spacing w:before="0" w:beforeAutospacing="0" w:after="0" w:afterAutospacing="0" w:line="78" w:lineRule="atLeast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«Ёлка желаний» проходит в двух форматах: офлайн и онлайн. В офлайн формате новогодние деревья с желаниями </w:t>
      </w:r>
      <w:r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устанавливаются в офисах организаций-партнеров и на площадках крупных мероприятий</w:t>
      </w:r>
      <w:r>
        <w:rPr>
          <w:sz w:val="28"/>
          <w:szCs w:val="28"/>
        </w:rPr>
        <w:t xml:space="preserve">. Сотрудники организаций и участники мероприятий выб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ают</w:t>
      </w:r>
      <w:r>
        <w:rPr>
          <w:sz w:val="28"/>
          <w:szCs w:val="28"/>
        </w:rPr>
        <w:t xml:space="preserve"> себе те заявки, которые смогут исполнить. В онлайн формате подобрать желания можно на сайте акции</w:t>
      </w:r>
      <w:r>
        <w:rPr>
          <w:color w:val="1155cc"/>
          <w:sz w:val="28"/>
          <w:szCs w:val="28"/>
        </w:rPr>
        <w:t xml:space="preserve"> </w:t>
      </w:r>
      <w:r>
        <w:rPr>
          <w:color w:val="1155cc"/>
          <w:sz w:val="28"/>
          <w:szCs w:val="28"/>
          <w:u w:val="single"/>
        </w:rPr>
        <w:t xml:space="preserve">елкажеланий.рф</w:t>
      </w:r>
      <w:r>
        <w:rPr>
          <w:sz w:val="28"/>
          <w:szCs w:val="28"/>
        </w:rPr>
        <w:t xml:space="preserve">: исполнитель сам определяет удобную для него сумму подарка и регион, в котором он готов реализовать желание участника.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Кроме того, в текущем году, объявленном в России Годом семьи, помимо традиционных вариантов участия планируется расширение Акции специальным форматом – «Праздник на стол». Его цель – оказать продовольственную поддержку детям из семей, доход которых ниже пр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ожиточного минимума. Благодаря этой инициативе каждый неравнодушный человек сможет внести свой вклад в создание новогоднего настроения для тех, кто в этом особенно нуждается, и подарить им то, без чего сложно представить Новый год – праздничный стол, за 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торым собирается вся семья.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рамках специальной акции «Праздник на стол» любой желающий может совершить благотворительное пожертвование на официальном сайте </w:t>
      </w:r>
      <w:r>
        <w:rPr>
          <w:color w:val="1155cc"/>
          <w:sz w:val="28"/>
          <w:szCs w:val="28"/>
          <w:u w:val="single"/>
        </w:rPr>
        <w:t xml:space="preserve">праздникнастол.рф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 в период с 21 ноября по 25 декабря 2024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8" w:lineRule="auto"/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Основные этапы акции в 202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  <w:u w:val="single"/>
        </w:rPr>
        <w:t xml:space="preserve">/202</w:t>
      </w:r>
      <w:r>
        <w:rPr>
          <w:sz w:val="28"/>
          <w:szCs w:val="28"/>
          <w:u w:val="single"/>
        </w:rPr>
        <w:t xml:space="preserve">5</w:t>
      </w:r>
      <w:r>
        <w:rPr>
          <w:sz w:val="28"/>
          <w:szCs w:val="28"/>
          <w:u w:val="single"/>
        </w:rPr>
        <w:t xml:space="preserve"> году: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numPr>
          <w:ilvl w:val="0"/>
          <w:numId w:val="1"/>
        </w:numPr>
        <w:ind w:left="709"/>
        <w:jc w:val="both"/>
        <w:spacing w:line="288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15 н</w:t>
      </w:r>
      <w:r>
        <w:rPr>
          <w:sz w:val="28"/>
          <w:szCs w:val="28"/>
        </w:rPr>
        <w:t xml:space="preserve">оябрь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начало</w:t>
      </w:r>
      <w:r>
        <w:rPr>
          <w:sz w:val="28"/>
          <w:szCs w:val="28"/>
        </w:rPr>
        <w:t xml:space="preserve"> сбора заявок от участников акции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numPr>
          <w:ilvl w:val="0"/>
          <w:numId w:val="1"/>
        </w:numPr>
        <w:ind w:left="709"/>
        <w:jc w:val="both"/>
        <w:spacing w:line="288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21 ноября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– пресс-конференция, посвященная старту Всероссийской акции «Ёлка желаний»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numPr>
          <w:ilvl w:val="0"/>
          <w:numId w:val="1"/>
        </w:numPr>
        <w:ind w:left="709"/>
        <w:jc w:val="both"/>
        <w:spacing w:line="288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екабрь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– старт реализации желаний исполнителями </w:t>
        <w:br/>
        <w:t xml:space="preserve">и партнерами-исполнителями (начало работы виртуальной елки, установка новогодних елей на площадках партнеров)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numPr>
          <w:ilvl w:val="0"/>
          <w:numId w:val="1"/>
        </w:numPr>
        <w:ind w:left="709"/>
        <w:jc w:val="both"/>
        <w:spacing w:line="288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екабрь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– окончание заявочной кампании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numPr>
          <w:ilvl w:val="0"/>
          <w:numId w:val="1"/>
        </w:numPr>
        <w:ind w:left="709"/>
        <w:jc w:val="both"/>
        <w:spacing w:line="288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28 февраля 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– завершение работы Всероссийской акции </w:t>
        <w:br/>
        <w:t xml:space="preserve">«Ёлка желаний».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docdata"/>
    <w:basedOn w:val="835"/>
    <w:pPr>
      <w:spacing w:before="100" w:beforeAutospacing="1" w:after="100" w:afterAutospacing="1"/>
    </w:pPr>
  </w:style>
  <w:style w:type="paragraph" w:styleId="840">
    <w:name w:val="List Paragraph"/>
    <w:basedOn w:val="83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Гильметдинова Эльвина Сергеевна</dc:creator>
  <cp:keywords/>
  <dc:description/>
  <cp:lastModifiedBy>eaakishkina@pervye.ru</cp:lastModifiedBy>
  <cp:revision>13</cp:revision>
  <dcterms:created xsi:type="dcterms:W3CDTF">2024-10-22T13:32:00Z</dcterms:created>
  <dcterms:modified xsi:type="dcterms:W3CDTF">2024-11-14T14:02:44Z</dcterms:modified>
</cp:coreProperties>
</file>